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DD" w:rsidRDefault="00E821CF" w:rsidP="006B0E8F">
      <w:pPr>
        <w:spacing w:after="120"/>
        <w:jc w:val="center"/>
        <w:rPr>
          <w:rFonts w:ascii="Times New Roman" w:hAnsi="Times New Roman" w:cs="Times New Roman"/>
          <w:b/>
        </w:rPr>
      </w:pPr>
      <w:bookmarkStart w:id="0" w:name="_GoBack"/>
      <w:bookmarkEnd w:id="0"/>
      <w:r w:rsidRPr="00C41060">
        <w:rPr>
          <w:rFonts w:ascii="Times New Roman" w:hAnsi="Times New Roman" w:cs="Times New Roman"/>
          <w:b/>
        </w:rPr>
        <w:t>NATUREL NOHUT ÜRÜNÜNE İLİŞKİN LİSANSLI DEPOLARDA UYGULANACAK KALİTE KRİTERLERİ VE SINIFLANDIRMASI</w:t>
      </w:r>
    </w:p>
    <w:p w:rsidR="006B0E8F" w:rsidRPr="00C41060" w:rsidRDefault="006B0E8F" w:rsidP="006B0E8F">
      <w:pPr>
        <w:spacing w:after="120"/>
        <w:jc w:val="center"/>
        <w:rPr>
          <w:rFonts w:ascii="Times New Roman" w:hAnsi="Times New Roman" w:cs="Times New Roman"/>
          <w:b/>
        </w:rPr>
      </w:pPr>
    </w:p>
    <w:tbl>
      <w:tblPr>
        <w:tblW w:w="15705" w:type="dxa"/>
        <w:tblInd w:w="54" w:type="dxa"/>
        <w:tblLayout w:type="fixed"/>
        <w:tblCellMar>
          <w:left w:w="70" w:type="dxa"/>
          <w:right w:w="70" w:type="dxa"/>
        </w:tblCellMar>
        <w:tblLook w:val="0000" w:firstRow="0" w:lastRow="0" w:firstColumn="0" w:lastColumn="0" w:noHBand="0" w:noVBand="0"/>
      </w:tblPr>
      <w:tblGrid>
        <w:gridCol w:w="1945"/>
        <w:gridCol w:w="721"/>
        <w:gridCol w:w="1103"/>
        <w:gridCol w:w="1134"/>
        <w:gridCol w:w="1417"/>
        <w:gridCol w:w="1276"/>
        <w:gridCol w:w="992"/>
        <w:gridCol w:w="1134"/>
        <w:gridCol w:w="1514"/>
        <w:gridCol w:w="1439"/>
        <w:gridCol w:w="1725"/>
        <w:gridCol w:w="1305"/>
      </w:tblGrid>
      <w:tr w:rsidR="000C00DD" w:rsidRPr="00C41060" w:rsidTr="000C00DD">
        <w:trPr>
          <w:trHeight w:val="270"/>
        </w:trPr>
        <w:tc>
          <w:tcPr>
            <w:tcW w:w="1945" w:type="dxa"/>
            <w:vMerge w:val="restart"/>
            <w:tcBorders>
              <w:top w:val="single" w:sz="4" w:space="0" w:color="auto"/>
              <w:left w:val="single" w:sz="4" w:space="0" w:color="auto"/>
              <w:right w:val="single" w:sz="4" w:space="0" w:color="auto"/>
            </w:tcBorders>
            <w:vAlign w:val="center"/>
          </w:tcPr>
          <w:p w:rsidR="000C00DD" w:rsidRPr="00C41060" w:rsidRDefault="000C00DD" w:rsidP="00B06E32">
            <w:pPr>
              <w:spacing w:before="120"/>
              <w:jc w:val="center"/>
              <w:rPr>
                <w:rFonts w:ascii="Times New Roman" w:hAnsi="Times New Roman" w:cs="Times New Roman"/>
                <w:b/>
              </w:rPr>
            </w:pPr>
            <w:r w:rsidRPr="00C41060">
              <w:rPr>
                <w:rFonts w:ascii="Times New Roman" w:hAnsi="Times New Roman" w:cs="Times New Roman"/>
                <w:b/>
              </w:rPr>
              <w:t>Tip</w:t>
            </w:r>
          </w:p>
        </w:tc>
        <w:tc>
          <w:tcPr>
            <w:tcW w:w="721"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Sınıfı</w:t>
            </w:r>
          </w:p>
        </w:tc>
        <w:tc>
          <w:tcPr>
            <w:tcW w:w="1103" w:type="dxa"/>
            <w:vMerge w:val="restart"/>
            <w:tcBorders>
              <w:top w:val="single" w:sz="4" w:space="0" w:color="auto"/>
              <w:left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Rutubet</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1134"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Yabancı madde</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1417"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Bozuk Tane</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1276"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Kırık Tane</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992"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Kalbur Altı</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1134"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xml:space="preserve">Keçi ve Piç Tane  </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1514"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Diğer Tip Karışımı</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1439" w:type="dxa"/>
            <w:vMerge w:val="restart"/>
            <w:tcBorders>
              <w:top w:val="single" w:sz="4" w:space="0" w:color="auto"/>
              <w:left w:val="nil"/>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Renk Karışımı</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c>
          <w:tcPr>
            <w:tcW w:w="3030" w:type="dxa"/>
            <w:gridSpan w:val="2"/>
            <w:tcBorders>
              <w:top w:val="single" w:sz="4" w:space="0" w:color="auto"/>
              <w:left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Tane İriliği</w:t>
            </w:r>
          </w:p>
        </w:tc>
      </w:tr>
      <w:tr w:rsidR="000C00DD" w:rsidRPr="00C41060" w:rsidTr="000C00DD">
        <w:trPr>
          <w:trHeight w:val="887"/>
        </w:trPr>
        <w:tc>
          <w:tcPr>
            <w:tcW w:w="1945" w:type="dxa"/>
            <w:vMerge/>
            <w:tcBorders>
              <w:left w:val="single" w:sz="4" w:space="0" w:color="auto"/>
              <w:right w:val="single" w:sz="4" w:space="0" w:color="auto"/>
            </w:tcBorders>
            <w:vAlign w:val="center"/>
          </w:tcPr>
          <w:p w:rsidR="000C00DD" w:rsidRPr="00C41060" w:rsidRDefault="000C00DD" w:rsidP="00B06E32">
            <w:pPr>
              <w:spacing w:before="120"/>
              <w:jc w:val="center"/>
              <w:rPr>
                <w:rFonts w:ascii="Times New Roman" w:hAnsi="Times New Roman" w:cs="Times New Roman"/>
                <w:b/>
              </w:rPr>
            </w:pPr>
          </w:p>
        </w:tc>
        <w:tc>
          <w:tcPr>
            <w:tcW w:w="721" w:type="dxa"/>
            <w:vMerge/>
            <w:tcBorders>
              <w:left w:val="nil"/>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103" w:type="dxa"/>
            <w:vMerge/>
            <w:tcBorders>
              <w:left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134" w:type="dxa"/>
            <w:vMerge/>
            <w:tcBorders>
              <w:left w:val="nil"/>
              <w:bottom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417" w:type="dxa"/>
            <w:vMerge/>
            <w:tcBorders>
              <w:left w:val="nil"/>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276" w:type="dxa"/>
            <w:vMerge/>
            <w:tcBorders>
              <w:left w:val="nil"/>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992" w:type="dxa"/>
            <w:vMerge/>
            <w:tcBorders>
              <w:left w:val="nil"/>
              <w:bottom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134" w:type="dxa"/>
            <w:vMerge/>
            <w:tcBorders>
              <w:left w:val="nil"/>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514" w:type="dxa"/>
            <w:vMerge/>
            <w:tcBorders>
              <w:left w:val="nil"/>
              <w:bottom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p>
        </w:tc>
        <w:tc>
          <w:tcPr>
            <w:tcW w:w="1439" w:type="dxa"/>
            <w:vMerge/>
            <w:tcBorders>
              <w:left w:val="nil"/>
              <w:bottom w:val="single" w:sz="4" w:space="0" w:color="auto"/>
              <w:right w:val="single" w:sz="4" w:space="0" w:color="auto"/>
            </w:tcBorders>
          </w:tcPr>
          <w:p w:rsidR="000C00DD" w:rsidRPr="00C41060" w:rsidRDefault="000C00DD" w:rsidP="00B06E32">
            <w:pPr>
              <w:jc w:val="center"/>
              <w:rPr>
                <w:rFonts w:ascii="Times New Roman" w:hAnsi="Times New Roman" w:cs="Times New Roman"/>
                <w:b/>
              </w:rPr>
            </w:pPr>
          </w:p>
        </w:tc>
        <w:tc>
          <w:tcPr>
            <w:tcW w:w="1725" w:type="dxa"/>
            <w:tcBorders>
              <w:top w:val="single" w:sz="4" w:space="0" w:color="auto"/>
              <w:left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9 mm ve üzeri</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az</w:t>
            </w:r>
          </w:p>
        </w:tc>
        <w:tc>
          <w:tcPr>
            <w:tcW w:w="1305" w:type="dxa"/>
            <w:tcBorders>
              <w:top w:val="single" w:sz="6" w:space="0" w:color="auto"/>
              <w:left w:val="nil"/>
              <w:bottom w:val="single" w:sz="4" w:space="0" w:color="auto"/>
              <w:right w:val="single" w:sz="4" w:space="0" w:color="auto"/>
            </w:tcBorders>
            <w:vAlign w:val="center"/>
          </w:tcPr>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8 mm altı</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 (gr)</w:t>
            </w:r>
          </w:p>
          <w:p w:rsidR="000C00DD" w:rsidRPr="00C41060" w:rsidRDefault="000C00DD" w:rsidP="00B06E32">
            <w:pPr>
              <w:jc w:val="center"/>
              <w:rPr>
                <w:rFonts w:ascii="Times New Roman" w:hAnsi="Times New Roman" w:cs="Times New Roman"/>
                <w:b/>
              </w:rPr>
            </w:pPr>
            <w:r w:rsidRPr="00C41060">
              <w:rPr>
                <w:rFonts w:ascii="Times New Roman" w:hAnsi="Times New Roman" w:cs="Times New Roman"/>
                <w:b/>
              </w:rPr>
              <w:t>en çok</w:t>
            </w:r>
          </w:p>
        </w:tc>
      </w:tr>
      <w:tr w:rsidR="000C00DD" w:rsidRPr="00C41060" w:rsidTr="000C00DD">
        <w:trPr>
          <w:trHeight w:val="218"/>
        </w:trPr>
        <w:tc>
          <w:tcPr>
            <w:tcW w:w="1945" w:type="dxa"/>
            <w:vMerge w:val="restart"/>
            <w:tcBorders>
              <w:top w:val="single" w:sz="4" w:space="0" w:color="auto"/>
              <w:left w:val="single" w:sz="4" w:space="0" w:color="auto"/>
              <w:right w:val="single" w:sz="4" w:space="0" w:color="auto"/>
            </w:tcBorders>
            <w:vAlign w:val="center"/>
          </w:tcPr>
          <w:p w:rsidR="000C00DD" w:rsidRPr="00C41060" w:rsidRDefault="000C00DD" w:rsidP="000C00DD">
            <w:pPr>
              <w:jc w:val="left"/>
              <w:rPr>
                <w:rFonts w:ascii="Times New Roman" w:hAnsi="Times New Roman" w:cs="Times New Roman"/>
                <w:b/>
              </w:rPr>
            </w:pPr>
            <w:r w:rsidRPr="00C41060">
              <w:rPr>
                <w:rFonts w:ascii="Times New Roman" w:hAnsi="Times New Roman" w:cs="Times New Roman"/>
                <w:b/>
              </w:rPr>
              <w:t>KOÇBAŞI</w:t>
            </w:r>
          </w:p>
        </w:tc>
        <w:tc>
          <w:tcPr>
            <w:tcW w:w="721" w:type="dxa"/>
            <w:tcBorders>
              <w:top w:val="single" w:sz="6" w:space="0" w:color="auto"/>
              <w:left w:val="nil"/>
              <w:bottom w:val="single" w:sz="6"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w:t>
            </w:r>
          </w:p>
        </w:tc>
        <w:tc>
          <w:tcPr>
            <w:tcW w:w="1103" w:type="dxa"/>
            <w:vMerge w:val="restart"/>
            <w:tcBorders>
              <w:top w:val="single" w:sz="4" w:space="0" w:color="auto"/>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14,00</w:t>
            </w: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0-2,00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0-5,00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0-3,00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0-2,00</w:t>
            </w:r>
          </w:p>
        </w:tc>
        <w:tc>
          <w:tcPr>
            <w:tcW w:w="1134" w:type="dxa"/>
            <w:vMerge w:val="restart"/>
            <w:tcBorders>
              <w:top w:val="single" w:sz="4" w:space="0" w:color="auto"/>
              <w:left w:val="nil"/>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0-8,0</w:t>
            </w: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0-3,00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0-3,00</w:t>
            </w:r>
          </w:p>
        </w:tc>
        <w:tc>
          <w:tcPr>
            <w:tcW w:w="1725" w:type="dxa"/>
            <w:tcBorders>
              <w:top w:val="single" w:sz="4" w:space="0" w:color="auto"/>
              <w:left w:val="single" w:sz="4" w:space="0" w:color="auto"/>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40,01 ve üzeri</w:t>
            </w:r>
          </w:p>
        </w:tc>
        <w:tc>
          <w:tcPr>
            <w:tcW w:w="1305" w:type="dxa"/>
            <w:tcBorders>
              <w:top w:val="single" w:sz="4" w:space="0" w:color="auto"/>
              <w:left w:val="nil"/>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0-10,00</w:t>
            </w:r>
          </w:p>
        </w:tc>
      </w:tr>
      <w:tr w:rsidR="000C00DD" w:rsidRPr="00C41060" w:rsidTr="000C00DD">
        <w:trPr>
          <w:trHeight w:val="218"/>
        </w:trPr>
        <w:tc>
          <w:tcPr>
            <w:tcW w:w="1945" w:type="dxa"/>
            <w:vMerge/>
            <w:tcBorders>
              <w:left w:val="single" w:sz="4" w:space="0" w:color="auto"/>
              <w:right w:val="single" w:sz="4" w:space="0" w:color="auto"/>
            </w:tcBorders>
            <w:vAlign w:val="bottom"/>
          </w:tcPr>
          <w:p w:rsidR="000C00DD" w:rsidRPr="00C41060" w:rsidRDefault="000C00DD" w:rsidP="000C00DD">
            <w:pPr>
              <w:spacing w:before="120"/>
              <w:rPr>
                <w:rFonts w:ascii="Times New Roman" w:hAnsi="Times New Roman" w:cs="Times New Roman"/>
                <w:b/>
              </w:rPr>
            </w:pPr>
          </w:p>
        </w:tc>
        <w:tc>
          <w:tcPr>
            <w:tcW w:w="721" w:type="dxa"/>
            <w:tcBorders>
              <w:top w:val="single" w:sz="6" w:space="0" w:color="auto"/>
              <w:left w:val="nil"/>
              <w:bottom w:val="single" w:sz="6"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w:t>
            </w:r>
          </w:p>
        </w:tc>
        <w:tc>
          <w:tcPr>
            <w:tcW w:w="1103" w:type="dxa"/>
            <w:vMerge/>
            <w:tcBorders>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2,01-4,00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5,01-10,00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3,01-8,00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2,01-4,00</w:t>
            </w:r>
          </w:p>
        </w:tc>
        <w:tc>
          <w:tcPr>
            <w:tcW w:w="1134" w:type="dxa"/>
            <w:vMerge/>
            <w:tcBorders>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3,01-7,00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3,01-7,00</w:t>
            </w:r>
          </w:p>
        </w:tc>
        <w:tc>
          <w:tcPr>
            <w:tcW w:w="1725" w:type="dxa"/>
            <w:tcBorders>
              <w:top w:val="single" w:sz="4" w:space="0" w:color="auto"/>
              <w:left w:val="single" w:sz="4" w:space="0" w:color="auto"/>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15,01-40,00 arası</w:t>
            </w:r>
          </w:p>
        </w:tc>
        <w:tc>
          <w:tcPr>
            <w:tcW w:w="1305"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10,01-25,00</w:t>
            </w:r>
          </w:p>
        </w:tc>
      </w:tr>
      <w:tr w:rsidR="000C00DD" w:rsidRPr="00C41060" w:rsidTr="000C00DD">
        <w:trPr>
          <w:trHeight w:val="218"/>
        </w:trPr>
        <w:tc>
          <w:tcPr>
            <w:tcW w:w="1945" w:type="dxa"/>
            <w:vMerge/>
            <w:tcBorders>
              <w:left w:val="single" w:sz="4" w:space="0" w:color="auto"/>
              <w:bottom w:val="single" w:sz="4" w:space="0" w:color="auto"/>
              <w:right w:val="single" w:sz="4" w:space="0" w:color="auto"/>
            </w:tcBorders>
            <w:vAlign w:val="bottom"/>
          </w:tcPr>
          <w:p w:rsidR="000C00DD" w:rsidRPr="00C41060" w:rsidRDefault="000C00DD" w:rsidP="000C00DD">
            <w:pPr>
              <w:spacing w:before="120"/>
              <w:rPr>
                <w:rFonts w:ascii="Times New Roman" w:hAnsi="Times New Roman" w:cs="Times New Roman"/>
                <w:b/>
              </w:rPr>
            </w:pPr>
          </w:p>
        </w:tc>
        <w:tc>
          <w:tcPr>
            <w:tcW w:w="721" w:type="dxa"/>
            <w:tcBorders>
              <w:top w:val="single" w:sz="6" w:space="0" w:color="auto"/>
              <w:left w:val="nil"/>
              <w:bottom w:val="single" w:sz="6"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w:t>
            </w:r>
          </w:p>
        </w:tc>
        <w:tc>
          <w:tcPr>
            <w:tcW w:w="1103" w:type="dxa"/>
            <w:vMerge/>
            <w:tcBorders>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4,01-6,00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10,01-15,00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8,01-12,00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4,01-6,00</w:t>
            </w: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8,01-10,00</w:t>
            </w: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7,01-10,00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7,01-10,00</w:t>
            </w:r>
          </w:p>
        </w:tc>
        <w:tc>
          <w:tcPr>
            <w:tcW w:w="1725" w:type="dxa"/>
            <w:tcBorders>
              <w:top w:val="single" w:sz="4" w:space="0" w:color="auto"/>
              <w:left w:val="single" w:sz="4" w:space="0" w:color="auto"/>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 xml:space="preserve">5,00-15,00 </w:t>
            </w:r>
          </w:p>
        </w:tc>
        <w:tc>
          <w:tcPr>
            <w:tcW w:w="1305" w:type="dxa"/>
            <w:tcBorders>
              <w:top w:val="single" w:sz="4" w:space="0" w:color="auto"/>
              <w:left w:val="nil"/>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25,01-35,00</w:t>
            </w:r>
          </w:p>
        </w:tc>
      </w:tr>
      <w:tr w:rsidR="000C00DD" w:rsidRPr="00C41060" w:rsidTr="000C00DD">
        <w:trPr>
          <w:trHeight w:val="218"/>
        </w:trPr>
        <w:tc>
          <w:tcPr>
            <w:tcW w:w="1945" w:type="dxa"/>
            <w:vMerge w:val="restart"/>
            <w:tcBorders>
              <w:top w:val="single" w:sz="4" w:space="0" w:color="auto"/>
              <w:left w:val="single" w:sz="4" w:space="0" w:color="auto"/>
              <w:right w:val="single" w:sz="4" w:space="0" w:color="auto"/>
            </w:tcBorders>
            <w:vAlign w:val="center"/>
          </w:tcPr>
          <w:p w:rsidR="000C00DD" w:rsidRPr="00C41060" w:rsidRDefault="000C00DD" w:rsidP="000C00DD">
            <w:pPr>
              <w:jc w:val="left"/>
              <w:rPr>
                <w:rFonts w:ascii="Times New Roman" w:hAnsi="Times New Roman" w:cs="Times New Roman"/>
                <w:b/>
              </w:rPr>
            </w:pPr>
            <w:r w:rsidRPr="00C41060">
              <w:rPr>
                <w:rFonts w:ascii="Times New Roman" w:hAnsi="Times New Roman" w:cs="Times New Roman"/>
                <w:b/>
              </w:rPr>
              <w:t>YUVARLAK</w:t>
            </w:r>
          </w:p>
        </w:tc>
        <w:tc>
          <w:tcPr>
            <w:tcW w:w="721" w:type="dxa"/>
            <w:tcBorders>
              <w:top w:val="single" w:sz="6" w:space="0" w:color="auto"/>
              <w:left w:val="nil"/>
              <w:bottom w:val="single" w:sz="6"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w:t>
            </w:r>
          </w:p>
        </w:tc>
        <w:tc>
          <w:tcPr>
            <w:tcW w:w="1103" w:type="dxa"/>
            <w:vMerge/>
            <w:tcBorders>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0-2,00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0-5,00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0-5,00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0-2,00</w:t>
            </w:r>
          </w:p>
        </w:tc>
        <w:tc>
          <w:tcPr>
            <w:tcW w:w="1134" w:type="dxa"/>
            <w:vMerge w:val="restart"/>
            <w:tcBorders>
              <w:top w:val="single" w:sz="4" w:space="0" w:color="auto"/>
              <w:left w:val="nil"/>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0-8,00</w:t>
            </w: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0-3,00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0-3,00</w:t>
            </w:r>
          </w:p>
        </w:tc>
        <w:tc>
          <w:tcPr>
            <w:tcW w:w="1725" w:type="dxa"/>
            <w:tcBorders>
              <w:top w:val="single" w:sz="4" w:space="0" w:color="auto"/>
              <w:left w:val="single" w:sz="4" w:space="0" w:color="auto"/>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40,01 ve üzeri</w:t>
            </w:r>
          </w:p>
        </w:tc>
        <w:tc>
          <w:tcPr>
            <w:tcW w:w="1305" w:type="dxa"/>
            <w:tcBorders>
              <w:top w:val="single" w:sz="4" w:space="0" w:color="auto"/>
              <w:left w:val="nil"/>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0-10,00</w:t>
            </w:r>
          </w:p>
        </w:tc>
      </w:tr>
      <w:tr w:rsidR="000C00DD" w:rsidRPr="00C41060" w:rsidTr="000C00DD">
        <w:trPr>
          <w:trHeight w:val="218"/>
        </w:trPr>
        <w:tc>
          <w:tcPr>
            <w:tcW w:w="1945" w:type="dxa"/>
            <w:vMerge/>
            <w:tcBorders>
              <w:left w:val="single" w:sz="4" w:space="0" w:color="auto"/>
              <w:right w:val="single" w:sz="4" w:space="0" w:color="auto"/>
            </w:tcBorders>
            <w:vAlign w:val="bottom"/>
          </w:tcPr>
          <w:p w:rsidR="000C00DD" w:rsidRPr="00C41060" w:rsidRDefault="000C00DD" w:rsidP="000C00DD">
            <w:pPr>
              <w:spacing w:before="120"/>
              <w:rPr>
                <w:rFonts w:ascii="Times New Roman" w:hAnsi="Times New Roman" w:cs="Times New Roman"/>
                <w:b/>
              </w:rPr>
            </w:pPr>
          </w:p>
        </w:tc>
        <w:tc>
          <w:tcPr>
            <w:tcW w:w="721" w:type="dxa"/>
            <w:tcBorders>
              <w:top w:val="single" w:sz="6" w:space="0" w:color="auto"/>
              <w:left w:val="nil"/>
              <w:bottom w:val="single" w:sz="6"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w:t>
            </w:r>
          </w:p>
        </w:tc>
        <w:tc>
          <w:tcPr>
            <w:tcW w:w="1103" w:type="dxa"/>
            <w:vMerge/>
            <w:tcBorders>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2,01-4,00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5,01-10,00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5,01-8,00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2,01-4,00</w:t>
            </w:r>
          </w:p>
        </w:tc>
        <w:tc>
          <w:tcPr>
            <w:tcW w:w="1134" w:type="dxa"/>
            <w:vMerge/>
            <w:tcBorders>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3,01-7,00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3,01-7,00</w:t>
            </w:r>
          </w:p>
        </w:tc>
        <w:tc>
          <w:tcPr>
            <w:tcW w:w="1725" w:type="dxa"/>
            <w:tcBorders>
              <w:top w:val="single" w:sz="4" w:space="0" w:color="auto"/>
              <w:left w:val="single" w:sz="4" w:space="0" w:color="auto"/>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15,01-40,0 arası</w:t>
            </w:r>
          </w:p>
        </w:tc>
        <w:tc>
          <w:tcPr>
            <w:tcW w:w="1305"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10,01-25,00</w:t>
            </w:r>
          </w:p>
        </w:tc>
      </w:tr>
      <w:tr w:rsidR="000C00DD" w:rsidRPr="00C41060" w:rsidTr="000C00DD">
        <w:trPr>
          <w:trHeight w:val="218"/>
        </w:trPr>
        <w:tc>
          <w:tcPr>
            <w:tcW w:w="1945" w:type="dxa"/>
            <w:vMerge/>
            <w:tcBorders>
              <w:left w:val="single" w:sz="4" w:space="0" w:color="auto"/>
              <w:bottom w:val="single" w:sz="4" w:space="0" w:color="auto"/>
              <w:right w:val="single" w:sz="4" w:space="0" w:color="auto"/>
            </w:tcBorders>
            <w:vAlign w:val="bottom"/>
          </w:tcPr>
          <w:p w:rsidR="000C00DD" w:rsidRPr="00C41060" w:rsidRDefault="000C00DD" w:rsidP="000C00DD">
            <w:pPr>
              <w:spacing w:before="120"/>
              <w:rPr>
                <w:rFonts w:ascii="Times New Roman" w:hAnsi="Times New Roman" w:cs="Times New Roman"/>
                <w:b/>
              </w:rPr>
            </w:pPr>
          </w:p>
        </w:tc>
        <w:tc>
          <w:tcPr>
            <w:tcW w:w="721" w:type="dxa"/>
            <w:tcBorders>
              <w:top w:val="single" w:sz="6" w:space="0" w:color="auto"/>
              <w:left w:val="nil"/>
              <w:bottom w:val="single" w:sz="6"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3</w:t>
            </w:r>
          </w:p>
        </w:tc>
        <w:tc>
          <w:tcPr>
            <w:tcW w:w="1103" w:type="dxa"/>
            <w:vMerge/>
            <w:tcBorders>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4,01-6,00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10,01-15,00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8,01-12,00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4,01-6,00</w:t>
            </w: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8,01-10,00</w:t>
            </w: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7,01-10,00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7,01-10,00</w:t>
            </w:r>
          </w:p>
        </w:tc>
        <w:tc>
          <w:tcPr>
            <w:tcW w:w="1725" w:type="dxa"/>
            <w:tcBorders>
              <w:top w:val="single" w:sz="4" w:space="0" w:color="auto"/>
              <w:left w:val="single" w:sz="4" w:space="0" w:color="auto"/>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5,00-15,00</w:t>
            </w:r>
          </w:p>
        </w:tc>
        <w:tc>
          <w:tcPr>
            <w:tcW w:w="1305" w:type="dxa"/>
            <w:tcBorders>
              <w:top w:val="single" w:sz="4" w:space="0" w:color="auto"/>
              <w:left w:val="nil"/>
              <w:bottom w:val="single" w:sz="4" w:space="0" w:color="auto"/>
              <w:right w:val="single" w:sz="4" w:space="0" w:color="auto"/>
            </w:tcBorders>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25,01-35,00</w:t>
            </w:r>
          </w:p>
        </w:tc>
      </w:tr>
      <w:tr w:rsidR="000C00DD" w:rsidRPr="00C41060" w:rsidTr="000C00DD">
        <w:trPr>
          <w:trHeight w:val="218"/>
        </w:trPr>
        <w:tc>
          <w:tcPr>
            <w:tcW w:w="1945" w:type="dxa"/>
            <w:tcBorders>
              <w:top w:val="single" w:sz="4" w:space="0" w:color="auto"/>
              <w:left w:val="single" w:sz="4" w:space="0" w:color="auto"/>
              <w:bottom w:val="single" w:sz="4" w:space="0" w:color="auto"/>
              <w:right w:val="single" w:sz="4" w:space="0" w:color="auto"/>
            </w:tcBorders>
            <w:vAlign w:val="center"/>
          </w:tcPr>
          <w:p w:rsidR="000C00DD" w:rsidRPr="00C41060" w:rsidRDefault="000C00DD" w:rsidP="000C00DD">
            <w:pPr>
              <w:jc w:val="left"/>
              <w:rPr>
                <w:rFonts w:ascii="Times New Roman" w:hAnsi="Times New Roman" w:cs="Times New Roman"/>
                <w:b/>
              </w:rPr>
            </w:pPr>
            <w:r w:rsidRPr="00C41060">
              <w:rPr>
                <w:rFonts w:ascii="Times New Roman" w:hAnsi="Times New Roman" w:cs="Times New Roman"/>
                <w:b/>
              </w:rPr>
              <w:t>LEBLEBİLİK</w:t>
            </w:r>
          </w:p>
        </w:tc>
        <w:tc>
          <w:tcPr>
            <w:tcW w:w="721" w:type="dxa"/>
            <w:tcBorders>
              <w:top w:val="single" w:sz="6" w:space="0" w:color="auto"/>
              <w:left w:val="nil"/>
              <w:bottom w:val="single" w:sz="6"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1</w:t>
            </w:r>
          </w:p>
        </w:tc>
        <w:tc>
          <w:tcPr>
            <w:tcW w:w="1103" w:type="dxa"/>
            <w:vMerge/>
            <w:tcBorders>
              <w:left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0-6,00</w:t>
            </w:r>
          </w:p>
        </w:tc>
        <w:tc>
          <w:tcPr>
            <w:tcW w:w="1417"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0-15,00</w:t>
            </w:r>
          </w:p>
        </w:tc>
        <w:tc>
          <w:tcPr>
            <w:tcW w:w="1276"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0-12,00</w:t>
            </w:r>
          </w:p>
        </w:tc>
        <w:tc>
          <w:tcPr>
            <w:tcW w:w="992"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0-6,00</w:t>
            </w:r>
          </w:p>
        </w:tc>
        <w:tc>
          <w:tcPr>
            <w:tcW w:w="113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0-10,0</w:t>
            </w:r>
          </w:p>
        </w:tc>
        <w:tc>
          <w:tcPr>
            <w:tcW w:w="1514"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0-10,0</w:t>
            </w:r>
          </w:p>
        </w:tc>
        <w:tc>
          <w:tcPr>
            <w:tcW w:w="1439" w:type="dxa"/>
            <w:tcBorders>
              <w:top w:val="single" w:sz="4" w:space="0" w:color="auto"/>
              <w:left w:val="nil"/>
              <w:bottom w:val="single" w:sz="4" w:space="0" w:color="auto"/>
              <w:right w:val="single" w:sz="4" w:space="0" w:color="auto"/>
            </w:tcBorders>
            <w:vAlign w:val="center"/>
          </w:tcPr>
          <w:p w:rsidR="000C00DD" w:rsidRPr="00C41060" w:rsidRDefault="000C00DD" w:rsidP="000C00DD">
            <w:pPr>
              <w:jc w:val="center"/>
              <w:rPr>
                <w:rFonts w:ascii="Times New Roman" w:hAnsi="Times New Roman" w:cs="Times New Roman"/>
              </w:rPr>
            </w:pPr>
            <w:r w:rsidRPr="00C41060">
              <w:rPr>
                <w:rFonts w:ascii="Times New Roman" w:hAnsi="Times New Roman" w:cs="Times New Roman"/>
              </w:rPr>
              <w:t>0-10,0</w:t>
            </w:r>
          </w:p>
        </w:tc>
        <w:tc>
          <w:tcPr>
            <w:tcW w:w="3030" w:type="dxa"/>
            <w:gridSpan w:val="2"/>
            <w:tcBorders>
              <w:top w:val="single" w:sz="4" w:space="0" w:color="auto"/>
              <w:left w:val="single" w:sz="4" w:space="0" w:color="auto"/>
              <w:bottom w:val="single" w:sz="4" w:space="0" w:color="auto"/>
              <w:right w:val="single" w:sz="4" w:space="0" w:color="auto"/>
            </w:tcBorders>
          </w:tcPr>
          <w:p w:rsidR="000C00DD" w:rsidRPr="00C41060" w:rsidRDefault="000C00DD" w:rsidP="000C00DD">
            <w:pPr>
              <w:tabs>
                <w:tab w:val="left" w:pos="360"/>
                <w:tab w:val="center" w:pos="705"/>
              </w:tabs>
              <w:jc w:val="center"/>
              <w:rPr>
                <w:rFonts w:ascii="Times New Roman" w:hAnsi="Times New Roman" w:cs="Times New Roman"/>
              </w:rPr>
            </w:pPr>
            <w:r w:rsidRPr="00C41060">
              <w:rPr>
                <w:rFonts w:ascii="Times New Roman" w:hAnsi="Times New Roman" w:cs="Times New Roman"/>
              </w:rPr>
              <w:t>Aranmaz</w:t>
            </w:r>
          </w:p>
        </w:tc>
      </w:tr>
      <w:tr w:rsidR="000C00DD" w:rsidRPr="00C41060" w:rsidTr="00B06E32">
        <w:trPr>
          <w:trHeight w:val="218"/>
        </w:trPr>
        <w:tc>
          <w:tcPr>
            <w:tcW w:w="15705" w:type="dxa"/>
            <w:gridSpan w:val="12"/>
            <w:tcBorders>
              <w:top w:val="single" w:sz="4" w:space="0" w:color="auto"/>
              <w:left w:val="single" w:sz="4" w:space="0" w:color="auto"/>
              <w:bottom w:val="single" w:sz="4" w:space="0" w:color="auto"/>
              <w:right w:val="single" w:sz="4" w:space="0" w:color="auto"/>
            </w:tcBorders>
          </w:tcPr>
          <w:p w:rsidR="000C00DD" w:rsidRPr="00926933" w:rsidRDefault="000C00DD" w:rsidP="00B06E32">
            <w:pPr>
              <w:rPr>
                <w:rFonts w:ascii="Times New Roman" w:hAnsi="Times New Roman" w:cs="Times New Roman"/>
              </w:rPr>
            </w:pPr>
            <w:r w:rsidRPr="00926933">
              <w:rPr>
                <w:rFonts w:ascii="Times New Roman" w:hAnsi="Times New Roman" w:cs="Times New Roman"/>
              </w:rPr>
              <w:t xml:space="preserve">Not 1- Nohutlar kendine özgü renk ve kokuda olacak, yabancı tat ve/veya koku içermeyecektir. </w:t>
            </w:r>
          </w:p>
          <w:p w:rsidR="000C00DD" w:rsidRPr="00926933" w:rsidRDefault="000C00DD" w:rsidP="00B06E32">
            <w:pPr>
              <w:rPr>
                <w:rFonts w:ascii="Times New Roman" w:hAnsi="Times New Roman" w:cs="Times New Roman"/>
              </w:rPr>
            </w:pPr>
            <w:r w:rsidRPr="00926933">
              <w:rPr>
                <w:rFonts w:ascii="Times New Roman" w:hAnsi="Times New Roman" w:cs="Times New Roman"/>
              </w:rPr>
              <w:t>Not 2- Nohut içerisinde canlı böcek ve kalıntısı bulunmayacaktır.</w:t>
            </w:r>
          </w:p>
          <w:p w:rsidR="000C00DD" w:rsidRPr="00926933" w:rsidRDefault="000C00DD" w:rsidP="00B06E32">
            <w:pPr>
              <w:rPr>
                <w:rFonts w:ascii="Times New Roman" w:hAnsi="Times New Roman" w:cs="Times New Roman"/>
              </w:rPr>
            </w:pPr>
            <w:r w:rsidRPr="00926933">
              <w:rPr>
                <w:rFonts w:ascii="Times New Roman" w:hAnsi="Times New Roman" w:cs="Times New Roman"/>
              </w:rPr>
              <w:t>Not 3- Yabancı madde içerisinde taş toprak gibi inorganik maddeler oranı toplam ürün ağırlığının %2.5’inden fazla olmayacaktır.</w:t>
            </w:r>
          </w:p>
          <w:p w:rsidR="000C00DD" w:rsidRPr="00926933" w:rsidRDefault="000C00DD" w:rsidP="00B06E32">
            <w:pPr>
              <w:rPr>
                <w:rFonts w:ascii="Times New Roman" w:hAnsi="Times New Roman" w:cs="Times New Roman"/>
              </w:rPr>
            </w:pPr>
            <w:r w:rsidRPr="00926933">
              <w:rPr>
                <w:rFonts w:ascii="Times New Roman" w:hAnsi="Times New Roman" w:cs="Times New Roman"/>
              </w:rPr>
              <w:t>Not 4- Yabancı madde içerisindeki ölü böcek miktarı ağırlıkça %10’dan fazla olmayacaktır.</w:t>
            </w:r>
          </w:p>
          <w:p w:rsidR="000C00DD" w:rsidRPr="00926933" w:rsidRDefault="000C00DD" w:rsidP="00B06E32">
            <w:pPr>
              <w:rPr>
                <w:rFonts w:ascii="Times New Roman" w:hAnsi="Times New Roman" w:cs="Times New Roman"/>
              </w:rPr>
            </w:pPr>
            <w:r w:rsidRPr="00926933">
              <w:rPr>
                <w:rFonts w:ascii="Times New Roman" w:hAnsi="Times New Roman" w:cs="Times New Roman"/>
              </w:rPr>
              <w:t xml:space="preserve">Not 5- Nohutlarda ambar zararlılarına yönelik olarak bir ilaçlama yapılmış ise mutlaka fümigasyon belgesi ibraz edilecektir. </w:t>
            </w:r>
          </w:p>
          <w:p w:rsidR="000C00DD" w:rsidRPr="00926933" w:rsidRDefault="000C00DD" w:rsidP="000C00DD">
            <w:pPr>
              <w:rPr>
                <w:rFonts w:ascii="Times New Roman" w:hAnsi="Times New Roman" w:cs="Times New Roman"/>
              </w:rPr>
            </w:pPr>
            <w:r w:rsidRPr="00926933">
              <w:rPr>
                <w:rFonts w:ascii="Times New Roman" w:hAnsi="Times New Roman" w:cs="Times New Roman"/>
              </w:rPr>
              <w:t>Not 6- Nohutlardan numune alma ve analiz işlemleri ekte yer alan “Nohut Analiz Yöntemi”nde belirtildiği şekilde yapılacaktır. Ekte belirtilmeyen hususlarda TS 142 Nohut Standardında belirtilen usul ve esaslar uygulanacaktır.</w:t>
            </w:r>
          </w:p>
          <w:p w:rsidR="000C00DD" w:rsidRPr="00926933" w:rsidRDefault="000C00DD" w:rsidP="000C00DD">
            <w:pPr>
              <w:rPr>
                <w:rFonts w:ascii="Times New Roman" w:hAnsi="Times New Roman" w:cs="Times New Roman"/>
              </w:rPr>
            </w:pPr>
            <w:r w:rsidRPr="00926933">
              <w:rPr>
                <w:rFonts w:ascii="Times New Roman" w:hAnsi="Times New Roman" w:cs="Times New Roman"/>
              </w:rPr>
              <w:t>Not 7- Farklı tipteki nohutlar ile tane rengi krem ve beyaz olan nohutlar sınıf bazında birbirine karıştırılmadan farklı ISIN kodu ile depolanacaktır.</w:t>
            </w:r>
          </w:p>
          <w:p w:rsidR="00C41060" w:rsidRPr="00C41060" w:rsidRDefault="00C41060" w:rsidP="000C00DD">
            <w:pPr>
              <w:rPr>
                <w:rFonts w:ascii="Times New Roman" w:hAnsi="Times New Roman" w:cs="Times New Roman"/>
              </w:rPr>
            </w:pPr>
            <w:r w:rsidRPr="00926933">
              <w:rPr>
                <w:rFonts w:ascii="Times New Roman" w:hAnsi="Times New Roman" w:cs="Times New Roman"/>
              </w:rPr>
              <w:t>Not 8- Ürün analiz ve sınıflandırma belgelerinde 5 mm, 7 mm, 8 mm ve 9 mm irilik analiz sonuçları yüzde olarak belirtilecek ve bu unsurların toplamı 100 olacaktır.</w:t>
            </w:r>
            <w:r w:rsidRPr="00C41060">
              <w:rPr>
                <w:rFonts w:ascii="Times New Roman" w:hAnsi="Times New Roman" w:cs="Times New Roman"/>
              </w:rPr>
              <w:t xml:space="preserve"> </w:t>
            </w:r>
          </w:p>
        </w:tc>
      </w:tr>
    </w:tbl>
    <w:p w:rsidR="00C06CA0" w:rsidRPr="00C06CA0" w:rsidRDefault="00C06CA0" w:rsidP="00C06CA0">
      <w:pPr>
        <w:spacing w:before="120" w:after="120"/>
        <w:rPr>
          <w:rFonts w:ascii="Times New Roman" w:hAnsi="Times New Roman" w:cs="Times New Roman"/>
          <w:bCs/>
        </w:rPr>
      </w:pPr>
      <w:r w:rsidRPr="006B0E8F">
        <w:rPr>
          <w:rFonts w:ascii="Times New Roman" w:hAnsi="Times New Roman" w:cs="Times New Roman"/>
          <w:bCs/>
        </w:rPr>
        <w:t xml:space="preserve">Bu sınıflandırmada geçen; </w:t>
      </w:r>
    </w:p>
    <w:p w:rsidR="00712BDD" w:rsidRPr="00C41060" w:rsidRDefault="00712BDD" w:rsidP="00712BDD">
      <w:pPr>
        <w:ind w:right="-283"/>
        <w:rPr>
          <w:rFonts w:ascii="Times New Roman" w:hAnsi="Times New Roman" w:cs="Times New Roman"/>
        </w:rPr>
      </w:pPr>
      <w:r w:rsidRPr="00C41060">
        <w:rPr>
          <w:rFonts w:ascii="Times New Roman" w:hAnsi="Times New Roman" w:cs="Times New Roman"/>
          <w:b/>
        </w:rPr>
        <w:t>TİP:</w:t>
      </w:r>
      <w:r w:rsidRPr="00C41060">
        <w:rPr>
          <w:rFonts w:ascii="Times New Roman" w:hAnsi="Times New Roman" w:cs="Times New Roman"/>
        </w:rPr>
        <w:t xml:space="preserve"> Nohutlar; Koçbaşı </w:t>
      </w:r>
      <w:r w:rsidRPr="00C41060">
        <w:rPr>
          <w:rFonts w:ascii="Times New Roman" w:hAnsi="Times New Roman" w:cs="Times New Roman"/>
          <w:i/>
        </w:rPr>
        <w:t>(İspanyol, Lüks)</w:t>
      </w:r>
      <w:r w:rsidRPr="00C41060">
        <w:rPr>
          <w:rFonts w:ascii="Times New Roman" w:hAnsi="Times New Roman" w:cs="Times New Roman"/>
        </w:rPr>
        <w:t xml:space="preserve">, Leblebilik </w:t>
      </w:r>
      <w:r w:rsidRPr="00C41060">
        <w:rPr>
          <w:rFonts w:ascii="Times New Roman" w:hAnsi="Times New Roman" w:cs="Times New Roman"/>
          <w:i/>
        </w:rPr>
        <w:t>(Kaba, kuşbaşı)</w:t>
      </w:r>
      <w:r w:rsidRPr="00C41060">
        <w:rPr>
          <w:rFonts w:ascii="Times New Roman" w:hAnsi="Times New Roman" w:cs="Times New Roman"/>
        </w:rPr>
        <w:t xml:space="preserve"> ve Yuvarlak </w:t>
      </w:r>
      <w:r w:rsidRPr="00C41060">
        <w:rPr>
          <w:rFonts w:ascii="Times New Roman" w:hAnsi="Times New Roman" w:cs="Times New Roman"/>
          <w:i/>
        </w:rPr>
        <w:t>(Bezelyemsi, sıra)</w:t>
      </w:r>
      <w:r w:rsidRPr="00C41060">
        <w:rPr>
          <w:rFonts w:ascii="Times New Roman" w:hAnsi="Times New Roman" w:cs="Times New Roman"/>
        </w:rPr>
        <w:t xml:space="preserve"> olmak üzere üç tiptedir. </w:t>
      </w:r>
    </w:p>
    <w:p w:rsidR="00712BDD" w:rsidRPr="00C41060" w:rsidRDefault="00712BDD" w:rsidP="00712BDD">
      <w:pPr>
        <w:ind w:left="426" w:right="-283"/>
        <w:rPr>
          <w:rFonts w:ascii="Times New Roman" w:hAnsi="Times New Roman" w:cs="Times New Roman"/>
        </w:rPr>
      </w:pPr>
      <w:r w:rsidRPr="00C41060">
        <w:rPr>
          <w:rFonts w:ascii="Times New Roman" w:hAnsi="Times New Roman" w:cs="Times New Roman"/>
          <w:b/>
          <w:i/>
        </w:rPr>
        <w:t>Koçbaşı:</w:t>
      </w:r>
      <w:r w:rsidRPr="00C41060">
        <w:rPr>
          <w:rFonts w:ascii="Times New Roman" w:hAnsi="Times New Roman" w:cs="Times New Roman"/>
          <w:i/>
        </w:rPr>
        <w:t xml:space="preserve"> </w:t>
      </w:r>
      <w:r w:rsidRPr="00C41060">
        <w:rPr>
          <w:rFonts w:ascii="Times New Roman" w:hAnsi="Times New Roman" w:cs="Times New Roman"/>
        </w:rPr>
        <w:t>Bu tipe giren nohutlar, çok iri, az çok köşeli ve uzun yapıda olup, şekilleri koçbaşını andırır. Uzunlukları, genişliklerinin 1,5 katına yakın, genişlik ve derinlikleri ise birbirine eşittir. En geniş yerleri uzunluk eksenine dikey olan ekvatoral kısımlarıdır. Dip taraflarındaki ikiye bölünmüşlük belirgin durumdadır. Buruncuk uzun ve sarkıkçadır. Tanelerde buruncuğa doğru belirgin bir daralma görülür. Kabuk ince ve buruşuk olup, tane içinden kolay ayrılmaz.</w:t>
      </w:r>
    </w:p>
    <w:p w:rsidR="00712BDD" w:rsidRPr="00C41060" w:rsidRDefault="00712BDD" w:rsidP="00712BDD">
      <w:pPr>
        <w:ind w:left="426" w:right="-283"/>
        <w:rPr>
          <w:rFonts w:ascii="Times New Roman" w:hAnsi="Times New Roman" w:cs="Times New Roman"/>
        </w:rPr>
      </w:pPr>
      <w:r w:rsidRPr="00C41060">
        <w:rPr>
          <w:rFonts w:ascii="Times New Roman" w:hAnsi="Times New Roman" w:cs="Times New Roman"/>
          <w:b/>
          <w:i/>
        </w:rPr>
        <w:t>Yuvarlak:</w:t>
      </w:r>
      <w:r w:rsidRPr="00C41060">
        <w:rPr>
          <w:rFonts w:ascii="Times New Roman" w:hAnsi="Times New Roman" w:cs="Times New Roman"/>
        </w:rPr>
        <w:t xml:space="preserve"> Bu tipe giren nohutlar, iri boyda olup, yuvarlak yapıdadır ve şekilleri bezelyeyi andırır. Buruncuk küçüktür. Kabuk düz yapıdadır.</w:t>
      </w:r>
    </w:p>
    <w:p w:rsidR="00712BDD" w:rsidRPr="00C41060" w:rsidRDefault="00712BDD" w:rsidP="00712BDD">
      <w:pPr>
        <w:ind w:left="426"/>
        <w:rPr>
          <w:rFonts w:ascii="Times New Roman" w:hAnsi="Times New Roman" w:cs="Times New Roman"/>
        </w:rPr>
      </w:pPr>
      <w:r w:rsidRPr="00C41060">
        <w:rPr>
          <w:rFonts w:ascii="Times New Roman" w:hAnsi="Times New Roman" w:cs="Times New Roman"/>
          <w:b/>
          <w:i/>
        </w:rPr>
        <w:t>Leblebilik:</w:t>
      </w:r>
      <w:r w:rsidRPr="00C41060">
        <w:rPr>
          <w:rFonts w:ascii="Times New Roman" w:hAnsi="Times New Roman" w:cs="Times New Roman"/>
          <w:b/>
        </w:rPr>
        <w:t xml:space="preserve"> </w:t>
      </w:r>
      <w:r w:rsidRPr="00C41060">
        <w:rPr>
          <w:rFonts w:ascii="Times New Roman" w:hAnsi="Times New Roman" w:cs="Times New Roman"/>
        </w:rPr>
        <w:t>Bu tipe giren nohutlar, orta irilikte ve genellikle yuvarlakça olup, şekilleri kuşbaşını andırır. En geniş ve derin yerleri buruncuğun hemen altındaki uzunluk eksenine dikey olan kısımdır. Dip taraflarındaki ikiye bölünmüşlük belirgin değildir. Buruncuk orta boyda ve çengel şeklinde kıvrıktır. Kabuk oldukça kalın ve az kırışık olup, tane içinden kolay ayrılır.</w:t>
      </w:r>
    </w:p>
    <w:p w:rsidR="00C06CA0" w:rsidRPr="00926933" w:rsidRDefault="00C06CA0" w:rsidP="00C06CA0">
      <w:pPr>
        <w:ind w:right="-283"/>
        <w:rPr>
          <w:rFonts w:ascii="Times New Roman" w:hAnsi="Times New Roman" w:cs="Times New Roman"/>
          <w:b/>
        </w:rPr>
      </w:pPr>
      <w:r w:rsidRPr="00926933">
        <w:rPr>
          <w:rFonts w:ascii="Times New Roman" w:hAnsi="Times New Roman" w:cs="Times New Roman"/>
          <w:b/>
        </w:rPr>
        <w:t xml:space="preserve">SINIFI: </w:t>
      </w:r>
      <w:r w:rsidRPr="00926933">
        <w:rPr>
          <w:rFonts w:ascii="Times New Roman" w:hAnsi="Times New Roman" w:cs="Times New Roman"/>
        </w:rPr>
        <w:t>Analiz neticesinde oluşan kalite değerlerine göre yapılan sınıflandırmayı,</w:t>
      </w:r>
    </w:p>
    <w:p w:rsidR="00C06CA0" w:rsidRPr="00926933" w:rsidRDefault="00C06CA0" w:rsidP="00C06CA0">
      <w:pPr>
        <w:ind w:right="-283"/>
        <w:rPr>
          <w:rFonts w:ascii="Times New Roman" w:hAnsi="Times New Roman" w:cs="Times New Roman"/>
        </w:rPr>
      </w:pPr>
      <w:r w:rsidRPr="00926933">
        <w:rPr>
          <w:rFonts w:ascii="Times New Roman" w:hAnsi="Times New Roman" w:cs="Times New Roman"/>
          <w:b/>
        </w:rPr>
        <w:t xml:space="preserve">RUTUBET: </w:t>
      </w:r>
      <w:r w:rsidRPr="00926933">
        <w:rPr>
          <w:rFonts w:ascii="Times New Roman" w:hAnsi="Times New Roman" w:cs="Times New Roman"/>
        </w:rPr>
        <w:t>Nohut tanelerinin ağırlıkça % su içeriğidir (TS EN ISO 712)</w:t>
      </w:r>
    </w:p>
    <w:p w:rsidR="00C06CA0" w:rsidRPr="00926933" w:rsidRDefault="00C06CA0" w:rsidP="00C06CA0">
      <w:pPr>
        <w:ind w:right="-283"/>
        <w:rPr>
          <w:rFonts w:ascii="Times New Roman" w:hAnsi="Times New Roman" w:cs="Times New Roman"/>
          <w:b/>
        </w:rPr>
      </w:pPr>
      <w:r w:rsidRPr="00926933">
        <w:rPr>
          <w:rFonts w:ascii="Times New Roman" w:hAnsi="Times New Roman" w:cs="Times New Roman"/>
          <w:b/>
        </w:rPr>
        <w:t>YABANCI MADDE:</w:t>
      </w:r>
      <w:r w:rsidRPr="00926933">
        <w:rPr>
          <w:rFonts w:ascii="Times New Roman" w:hAnsi="Times New Roman" w:cs="Times New Roman"/>
        </w:rPr>
        <w:t xml:space="preserve"> Nohut taneleri arasında veya içinde bulunan kendinden başka gözle görülebilir her türlü maddelerdir.</w:t>
      </w:r>
    </w:p>
    <w:p w:rsidR="00C06CA0" w:rsidRPr="00926933" w:rsidRDefault="00C06CA0" w:rsidP="00C06CA0">
      <w:pPr>
        <w:tabs>
          <w:tab w:val="left" w:pos="284"/>
          <w:tab w:val="num" w:pos="1603"/>
        </w:tabs>
        <w:ind w:right="-283"/>
        <w:rPr>
          <w:rFonts w:ascii="Times New Roman" w:hAnsi="Times New Roman" w:cs="Times New Roman"/>
          <w:bCs/>
          <w:spacing w:val="-7"/>
        </w:rPr>
      </w:pPr>
      <w:r w:rsidRPr="00926933">
        <w:rPr>
          <w:rFonts w:ascii="Times New Roman" w:hAnsi="Times New Roman" w:cs="Times New Roman"/>
          <w:b/>
          <w:bCs/>
          <w:spacing w:val="-7"/>
        </w:rPr>
        <w:t>BOZUK TANE:</w:t>
      </w:r>
      <w:r w:rsidRPr="00926933">
        <w:rPr>
          <w:rFonts w:ascii="Times New Roman" w:hAnsi="Times New Roman" w:cs="Times New Roman"/>
          <w:bCs/>
          <w:spacing w:val="-7"/>
        </w:rPr>
        <w:t xml:space="preserve"> Küflenmiş, çürümüş, filizlenmiş, lekelenmiş, kendine özgü renk, tad ve kokusunu yitirmiş, hastalıklı, don ve dolu nedeni ile zarar görmüş, ıslanıp kurutulmuş, böcek veya diğer zararlılar tarafından çıplak gözle görülebilecek kadar yenmiş veya delinmiş bütün veya kırık nohutlar ile gelişmesini tamamlayamamış yeşil renkli ham nohut tane ve parçaları. </w:t>
      </w:r>
    </w:p>
    <w:p w:rsidR="00C06CA0" w:rsidRPr="00926933" w:rsidRDefault="00C06CA0" w:rsidP="00C06CA0">
      <w:pPr>
        <w:ind w:right="-283"/>
        <w:rPr>
          <w:rFonts w:ascii="Times New Roman" w:hAnsi="Times New Roman" w:cs="Times New Roman"/>
          <w:b/>
        </w:rPr>
      </w:pPr>
      <w:r w:rsidRPr="00926933">
        <w:rPr>
          <w:rFonts w:ascii="Times New Roman" w:hAnsi="Times New Roman" w:cs="Times New Roman"/>
          <w:b/>
        </w:rPr>
        <w:t>KIRIK TANE</w:t>
      </w:r>
      <w:r w:rsidRPr="00926933">
        <w:rPr>
          <w:rFonts w:ascii="Times New Roman" w:hAnsi="Times New Roman" w:cs="Times New Roman"/>
          <w:b/>
          <w:spacing w:val="-7"/>
        </w:rPr>
        <w:t>:</w:t>
      </w:r>
      <w:r w:rsidRPr="00926933">
        <w:rPr>
          <w:rFonts w:ascii="Times New Roman" w:hAnsi="Times New Roman" w:cs="Times New Roman"/>
          <w:spacing w:val="-7"/>
        </w:rPr>
        <w:t xml:space="preserve"> </w:t>
      </w:r>
      <w:r w:rsidRPr="00926933">
        <w:rPr>
          <w:rFonts w:ascii="Times New Roman" w:hAnsi="Times New Roman" w:cs="Times New Roman"/>
        </w:rPr>
        <w:t xml:space="preserve">Nohut tanelerinin iki veya daha fazla parçaya ayrılmasından oluşan ve delik açıklıkları </w:t>
      </w:r>
      <w:smartTag w:uri="urn:schemas-microsoft-com:office:smarttags" w:element="metricconverter">
        <w:smartTagPr>
          <w:attr w:name="ProductID" w:val="5 mm"/>
        </w:smartTagPr>
        <w:r w:rsidRPr="00926933">
          <w:rPr>
            <w:rFonts w:ascii="Times New Roman" w:hAnsi="Times New Roman" w:cs="Times New Roman"/>
          </w:rPr>
          <w:t>5 mm</w:t>
        </w:r>
      </w:smartTag>
      <w:r w:rsidRPr="00926933">
        <w:rPr>
          <w:rFonts w:ascii="Times New Roman" w:hAnsi="Times New Roman" w:cs="Times New Roman"/>
        </w:rPr>
        <w:t xml:space="preserve"> olan yuvarlak</w:t>
      </w:r>
      <w:r w:rsidRPr="00926933">
        <w:rPr>
          <w:rFonts w:ascii="Times New Roman" w:hAnsi="Times New Roman" w:cs="Times New Roman"/>
          <w:spacing w:val="-7"/>
        </w:rPr>
        <w:t xml:space="preserve"> </w:t>
      </w:r>
      <w:r w:rsidRPr="00926933">
        <w:rPr>
          <w:rFonts w:ascii="Times New Roman" w:hAnsi="Times New Roman" w:cs="Times New Roman"/>
        </w:rPr>
        <w:t>delikli elek üstünde kalan, bozuk olmayan nohut parçasıdır.</w:t>
      </w:r>
    </w:p>
    <w:p w:rsidR="00C06CA0" w:rsidRPr="00926933" w:rsidRDefault="00C06CA0" w:rsidP="00C06CA0">
      <w:pPr>
        <w:ind w:right="-283"/>
        <w:rPr>
          <w:rFonts w:ascii="Times New Roman" w:hAnsi="Times New Roman" w:cs="Times New Roman"/>
          <w:b/>
        </w:rPr>
      </w:pPr>
      <w:r w:rsidRPr="00926933">
        <w:rPr>
          <w:rFonts w:ascii="Times New Roman" w:hAnsi="Times New Roman" w:cs="Times New Roman"/>
          <w:b/>
          <w:bCs/>
          <w:spacing w:val="-7"/>
        </w:rPr>
        <w:t xml:space="preserve">KALBUR ALTI: </w:t>
      </w:r>
      <w:r w:rsidRPr="00926933">
        <w:rPr>
          <w:rFonts w:ascii="Times New Roman" w:hAnsi="Times New Roman" w:cs="Times New Roman"/>
          <w:bCs/>
          <w:spacing w:val="-7"/>
        </w:rPr>
        <w:t>5 mm yuvarlak delikli elek altına geçen her türlü nohut tanesi ve parçalarıdır. (sağlam, kırık, bozuk, keçi, piç vb.)</w:t>
      </w:r>
    </w:p>
    <w:p w:rsidR="00C06CA0" w:rsidRPr="00926933" w:rsidRDefault="00C06CA0" w:rsidP="00C06CA0">
      <w:pPr>
        <w:rPr>
          <w:rFonts w:ascii="Times New Roman" w:hAnsi="Times New Roman" w:cs="Times New Roman"/>
        </w:rPr>
      </w:pPr>
      <w:r w:rsidRPr="00926933">
        <w:rPr>
          <w:rFonts w:ascii="Times New Roman" w:hAnsi="Times New Roman" w:cs="Times New Roman"/>
          <w:b/>
        </w:rPr>
        <w:t>KEÇİ ve PİÇ TANE:</w:t>
      </w:r>
      <w:r w:rsidRPr="00926933">
        <w:rPr>
          <w:rFonts w:ascii="Times New Roman" w:hAnsi="Times New Roman" w:cs="Times New Roman"/>
        </w:rPr>
        <w:t xml:space="preserve"> Rengi normal rengine yakın, fakat iyi gelişmemiş, sert yapılı</w:t>
      </w:r>
      <w:r w:rsidRPr="00926933">
        <w:rPr>
          <w:rFonts w:ascii="Times New Roman" w:hAnsi="Times New Roman" w:cs="Times New Roman"/>
          <w:spacing w:val="-7"/>
        </w:rPr>
        <w:t xml:space="preserve"> </w:t>
      </w:r>
      <w:r w:rsidRPr="00926933">
        <w:rPr>
          <w:rFonts w:ascii="Times New Roman" w:hAnsi="Times New Roman" w:cs="Times New Roman"/>
        </w:rPr>
        <w:t xml:space="preserve">nohut keçi tane,  yozlaşmış, iyi gelişmemiş, sert yapılı, rengi koyulaşmış nohut ise piç tanedir. </w:t>
      </w:r>
    </w:p>
    <w:p w:rsidR="00C06CA0" w:rsidRPr="00926933" w:rsidRDefault="00C06CA0" w:rsidP="00C06CA0">
      <w:pPr>
        <w:rPr>
          <w:rFonts w:ascii="Times New Roman" w:hAnsi="Times New Roman" w:cs="Times New Roman"/>
        </w:rPr>
      </w:pPr>
      <w:r w:rsidRPr="00926933">
        <w:rPr>
          <w:rFonts w:ascii="Times New Roman" w:hAnsi="Times New Roman" w:cs="Times New Roman"/>
          <w:b/>
        </w:rPr>
        <w:t>DİĞER TİP:</w:t>
      </w:r>
      <w:r w:rsidRPr="00926933">
        <w:rPr>
          <w:rFonts w:ascii="Times New Roman" w:hAnsi="Times New Roman" w:cs="Times New Roman"/>
        </w:rPr>
        <w:t xml:space="preserve"> Nohut içerisinde kendi tipi haricinde bulunan diğer tip nohutlardır.</w:t>
      </w:r>
    </w:p>
    <w:p w:rsidR="00C06CA0" w:rsidRPr="00926933" w:rsidRDefault="00C06CA0" w:rsidP="00C06CA0">
      <w:pPr>
        <w:rPr>
          <w:rFonts w:ascii="Times New Roman" w:hAnsi="Times New Roman" w:cs="Times New Roman"/>
        </w:rPr>
      </w:pPr>
      <w:r w:rsidRPr="00926933">
        <w:rPr>
          <w:rFonts w:ascii="Times New Roman" w:hAnsi="Times New Roman" w:cs="Times New Roman"/>
          <w:b/>
        </w:rPr>
        <w:t>TANE RENGİ:</w:t>
      </w:r>
      <w:r w:rsidRPr="00926933">
        <w:rPr>
          <w:rFonts w:ascii="Times New Roman" w:hAnsi="Times New Roman" w:cs="Times New Roman"/>
        </w:rPr>
        <w:t xml:space="preserve"> Çeşit özelliği bakımından tane rengine göre beyaz renkli ile krem ve bej renkli nohutlardır.</w:t>
      </w:r>
    </w:p>
    <w:p w:rsidR="00C06CA0" w:rsidRPr="00926933" w:rsidRDefault="00C06CA0" w:rsidP="00C06CA0">
      <w:pPr>
        <w:rPr>
          <w:rFonts w:ascii="Times New Roman" w:hAnsi="Times New Roman" w:cs="Times New Roman"/>
        </w:rPr>
      </w:pPr>
      <w:r w:rsidRPr="00926933">
        <w:rPr>
          <w:rFonts w:ascii="Times New Roman" w:hAnsi="Times New Roman" w:cs="Times New Roman"/>
          <w:b/>
        </w:rPr>
        <w:t>TANE İRİLİĞİ:</w:t>
      </w:r>
      <w:r w:rsidRPr="00926933">
        <w:rPr>
          <w:rFonts w:ascii="Times New Roman" w:hAnsi="Times New Roman" w:cs="Times New Roman"/>
        </w:rPr>
        <w:t xml:space="preserve"> Diğer tipleri, yabancı maddesi, bozuk tanesi, keçi ve piç taneleri, kalbur altı ile kırık tanesi ayrılmış olan 250 gram numunede elek </w:t>
      </w:r>
      <w:r w:rsidR="00D62AB1" w:rsidRPr="00926933">
        <w:rPr>
          <w:rFonts w:ascii="Times New Roman" w:hAnsi="Times New Roman" w:cs="Times New Roman"/>
        </w:rPr>
        <w:t xml:space="preserve">göz açıklığı 9 mm ve </w:t>
      </w:r>
      <w:r w:rsidRPr="00926933">
        <w:rPr>
          <w:rFonts w:ascii="Times New Roman" w:hAnsi="Times New Roman" w:cs="Times New Roman"/>
        </w:rPr>
        <w:t>8 mm olan yuvarlık delikli elekler kullanılarak boylanmış nohutların kütlece değerini,</w:t>
      </w:r>
    </w:p>
    <w:p w:rsidR="00C06CA0" w:rsidRPr="00C41060" w:rsidRDefault="00C06CA0">
      <w:pPr>
        <w:rPr>
          <w:rFonts w:ascii="Times New Roman" w:hAnsi="Times New Roman" w:cs="Times New Roman"/>
          <w:bCs/>
        </w:rPr>
      </w:pPr>
      <w:r w:rsidRPr="00926933">
        <w:rPr>
          <w:rFonts w:ascii="Times New Roman" w:hAnsi="Times New Roman" w:cs="Times New Roman"/>
        </w:rPr>
        <w:t>ifade eder.</w:t>
      </w:r>
    </w:p>
    <w:sectPr w:rsidR="00C06CA0" w:rsidRPr="00C41060" w:rsidSect="00AB18D5">
      <w:pgSz w:w="16838" w:h="11906" w:orient="landscape"/>
      <w:pgMar w:top="426" w:right="678"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02A" w:rsidRDefault="007D302A" w:rsidP="00C334DE">
      <w:r>
        <w:separator/>
      </w:r>
    </w:p>
  </w:endnote>
  <w:endnote w:type="continuationSeparator" w:id="0">
    <w:p w:rsidR="007D302A" w:rsidRDefault="007D302A" w:rsidP="00C3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02A" w:rsidRDefault="007D302A" w:rsidP="00C334DE">
      <w:r>
        <w:separator/>
      </w:r>
    </w:p>
  </w:footnote>
  <w:footnote w:type="continuationSeparator" w:id="0">
    <w:p w:rsidR="007D302A" w:rsidRDefault="007D302A" w:rsidP="00C3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0C9"/>
    <w:multiLevelType w:val="multilevel"/>
    <w:tmpl w:val="0A66641C"/>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675"/>
        </w:tabs>
        <w:ind w:left="675" w:hanging="1035"/>
      </w:pPr>
      <w:rPr>
        <w:b/>
      </w:rPr>
    </w:lvl>
    <w:lvl w:ilvl="2">
      <w:start w:val="1"/>
      <w:numFmt w:val="decimal"/>
      <w:isLgl/>
      <w:lvlText w:val="%1.%2.%3."/>
      <w:lvlJc w:val="left"/>
      <w:pPr>
        <w:tabs>
          <w:tab w:val="num" w:pos="1035"/>
        </w:tabs>
        <w:ind w:left="1035" w:hanging="1035"/>
      </w:pPr>
      <w:rPr>
        <w:rFonts w:cs="Times New Roman" w:hint="default"/>
        <w:b/>
      </w:rPr>
    </w:lvl>
    <w:lvl w:ilvl="3">
      <w:start w:val="1"/>
      <w:numFmt w:val="decimal"/>
      <w:isLgl/>
      <w:lvlText w:val="%1.%2.%3.%4."/>
      <w:lvlJc w:val="left"/>
      <w:pPr>
        <w:tabs>
          <w:tab w:val="num" w:pos="1035"/>
        </w:tabs>
        <w:ind w:left="1035" w:hanging="1035"/>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1" w15:restartNumberingAfterBreak="0">
    <w:nsid w:val="6EBD17A5"/>
    <w:multiLevelType w:val="multilevel"/>
    <w:tmpl w:val="3550ABF8"/>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735"/>
        </w:tabs>
        <w:ind w:left="1735" w:hanging="1035"/>
      </w:pPr>
      <w:rPr>
        <w:b/>
      </w:rPr>
    </w:lvl>
    <w:lvl w:ilvl="2">
      <w:start w:val="1"/>
      <w:numFmt w:val="decimal"/>
      <w:isLgl/>
      <w:lvlText w:val="%1.%2.%3."/>
      <w:lvlJc w:val="left"/>
      <w:pPr>
        <w:tabs>
          <w:tab w:val="num" w:pos="1035"/>
        </w:tabs>
        <w:ind w:left="1035" w:hanging="1035"/>
      </w:pPr>
      <w:rPr>
        <w:rFonts w:cs="Times New Roman" w:hint="default"/>
        <w:b/>
      </w:rPr>
    </w:lvl>
    <w:lvl w:ilvl="3">
      <w:start w:val="1"/>
      <w:numFmt w:val="decimal"/>
      <w:isLgl/>
      <w:lvlText w:val="%1.%2.%3.%4."/>
      <w:lvlJc w:val="left"/>
      <w:pPr>
        <w:tabs>
          <w:tab w:val="num" w:pos="1035"/>
        </w:tabs>
        <w:ind w:left="1035" w:hanging="1035"/>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2" w15:restartNumberingAfterBreak="0">
    <w:nsid w:val="73B525CC"/>
    <w:multiLevelType w:val="hybridMultilevel"/>
    <w:tmpl w:val="40B4CE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2"/>
    <w:rsid w:val="00041324"/>
    <w:rsid w:val="00057F45"/>
    <w:rsid w:val="0006177C"/>
    <w:rsid w:val="00067A36"/>
    <w:rsid w:val="0007765C"/>
    <w:rsid w:val="000C00DD"/>
    <w:rsid w:val="000C0DC5"/>
    <w:rsid w:val="000C2612"/>
    <w:rsid w:val="00205F66"/>
    <w:rsid w:val="00210147"/>
    <w:rsid w:val="0026055C"/>
    <w:rsid w:val="0028715A"/>
    <w:rsid w:val="002F47CB"/>
    <w:rsid w:val="00323A4C"/>
    <w:rsid w:val="00340E02"/>
    <w:rsid w:val="00353DA5"/>
    <w:rsid w:val="003B5F49"/>
    <w:rsid w:val="003D287C"/>
    <w:rsid w:val="003D3CDA"/>
    <w:rsid w:val="00411FBE"/>
    <w:rsid w:val="00424EA8"/>
    <w:rsid w:val="004409AF"/>
    <w:rsid w:val="0049191A"/>
    <w:rsid w:val="004A5290"/>
    <w:rsid w:val="004B6BB1"/>
    <w:rsid w:val="004E044F"/>
    <w:rsid w:val="004E112D"/>
    <w:rsid w:val="004F6567"/>
    <w:rsid w:val="00586964"/>
    <w:rsid w:val="005B180F"/>
    <w:rsid w:val="005B1DD6"/>
    <w:rsid w:val="006403EC"/>
    <w:rsid w:val="006560FC"/>
    <w:rsid w:val="006B0E8F"/>
    <w:rsid w:val="006C4CC2"/>
    <w:rsid w:val="006C5658"/>
    <w:rsid w:val="00712BDD"/>
    <w:rsid w:val="007A2384"/>
    <w:rsid w:val="007D302A"/>
    <w:rsid w:val="00856976"/>
    <w:rsid w:val="008835AD"/>
    <w:rsid w:val="00891C8D"/>
    <w:rsid w:val="009005B4"/>
    <w:rsid w:val="00924729"/>
    <w:rsid w:val="0092689B"/>
    <w:rsid w:val="00926933"/>
    <w:rsid w:val="009431A3"/>
    <w:rsid w:val="009579F0"/>
    <w:rsid w:val="00985B6B"/>
    <w:rsid w:val="009C0DA3"/>
    <w:rsid w:val="009C134C"/>
    <w:rsid w:val="009D3AF9"/>
    <w:rsid w:val="009D61F4"/>
    <w:rsid w:val="009F3BE1"/>
    <w:rsid w:val="00A203F4"/>
    <w:rsid w:val="00A262B0"/>
    <w:rsid w:val="00A32E90"/>
    <w:rsid w:val="00A47F16"/>
    <w:rsid w:val="00A6206E"/>
    <w:rsid w:val="00A6579A"/>
    <w:rsid w:val="00A70E69"/>
    <w:rsid w:val="00A96BF2"/>
    <w:rsid w:val="00AB18D5"/>
    <w:rsid w:val="00AE7A94"/>
    <w:rsid w:val="00AE7EB4"/>
    <w:rsid w:val="00B210C5"/>
    <w:rsid w:val="00B4558E"/>
    <w:rsid w:val="00B76076"/>
    <w:rsid w:val="00BB18E2"/>
    <w:rsid w:val="00BC082F"/>
    <w:rsid w:val="00BE125E"/>
    <w:rsid w:val="00BF6C09"/>
    <w:rsid w:val="00C06CA0"/>
    <w:rsid w:val="00C10C9E"/>
    <w:rsid w:val="00C1745B"/>
    <w:rsid w:val="00C334DE"/>
    <w:rsid w:val="00C35A03"/>
    <w:rsid w:val="00C41060"/>
    <w:rsid w:val="00CC6ABA"/>
    <w:rsid w:val="00CF024B"/>
    <w:rsid w:val="00D60F55"/>
    <w:rsid w:val="00D62AB1"/>
    <w:rsid w:val="00DE3FA9"/>
    <w:rsid w:val="00E15D76"/>
    <w:rsid w:val="00E20001"/>
    <w:rsid w:val="00E821CF"/>
    <w:rsid w:val="00E97F52"/>
    <w:rsid w:val="00EA7882"/>
    <w:rsid w:val="00F07225"/>
    <w:rsid w:val="00F26532"/>
    <w:rsid w:val="00F26859"/>
    <w:rsid w:val="00F5759F"/>
    <w:rsid w:val="00F97B0F"/>
    <w:rsid w:val="00FE128B"/>
    <w:rsid w:val="00FE3174"/>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B3CCD35-65AB-4B04-B019-57F12D4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E2"/>
    <w:pPr>
      <w:tabs>
        <w:tab w:val="left" w:pos="567"/>
      </w:tabs>
      <w:spacing w:after="0" w:line="240" w:lineRule="auto"/>
      <w:jc w:val="both"/>
    </w:pPr>
    <w:rPr>
      <w:rFonts w:ascii="Arial" w:eastAsia="SimSun" w:hAnsi="Arial" w:cs="Arial"/>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34DE"/>
    <w:pPr>
      <w:tabs>
        <w:tab w:val="clear" w:pos="567"/>
        <w:tab w:val="center" w:pos="4536"/>
        <w:tab w:val="right" w:pos="9072"/>
      </w:tabs>
    </w:pPr>
  </w:style>
  <w:style w:type="character" w:customStyle="1" w:styleId="stBilgiChar">
    <w:name w:val="Üst Bilgi Char"/>
    <w:basedOn w:val="VarsaylanParagrafYazTipi"/>
    <w:link w:val="stBilgi"/>
    <w:uiPriority w:val="99"/>
    <w:rsid w:val="00C334DE"/>
    <w:rPr>
      <w:rFonts w:ascii="Arial" w:eastAsia="SimSun" w:hAnsi="Arial" w:cs="Arial"/>
      <w:sz w:val="20"/>
      <w:szCs w:val="20"/>
      <w:lang w:eastAsia="zh-CN"/>
    </w:rPr>
  </w:style>
  <w:style w:type="paragraph" w:styleId="AltBilgi">
    <w:name w:val="footer"/>
    <w:basedOn w:val="Normal"/>
    <w:link w:val="AltBilgiChar"/>
    <w:uiPriority w:val="99"/>
    <w:unhideWhenUsed/>
    <w:rsid w:val="00C334DE"/>
    <w:pPr>
      <w:tabs>
        <w:tab w:val="clear" w:pos="567"/>
        <w:tab w:val="center" w:pos="4536"/>
        <w:tab w:val="right" w:pos="9072"/>
      </w:tabs>
    </w:pPr>
  </w:style>
  <w:style w:type="character" w:customStyle="1" w:styleId="AltBilgiChar">
    <w:name w:val="Alt Bilgi Char"/>
    <w:basedOn w:val="VarsaylanParagrafYazTipi"/>
    <w:link w:val="AltBilgi"/>
    <w:uiPriority w:val="99"/>
    <w:rsid w:val="00C334DE"/>
    <w:rPr>
      <w:rFonts w:ascii="Arial" w:eastAsia="SimSun" w:hAnsi="Arial" w:cs="Arial"/>
      <w:sz w:val="20"/>
      <w:szCs w:val="20"/>
      <w:lang w:eastAsia="zh-CN"/>
    </w:rPr>
  </w:style>
  <w:style w:type="paragraph" w:styleId="ListeParagraf">
    <w:name w:val="List Paragraph"/>
    <w:basedOn w:val="Normal"/>
    <w:uiPriority w:val="34"/>
    <w:qFormat/>
    <w:rsid w:val="00D60F55"/>
    <w:pPr>
      <w:ind w:left="720"/>
      <w:contextualSpacing/>
    </w:pPr>
  </w:style>
  <w:style w:type="paragraph" w:styleId="BalonMetni">
    <w:name w:val="Balloon Text"/>
    <w:basedOn w:val="Normal"/>
    <w:link w:val="BalonMetniChar"/>
    <w:uiPriority w:val="99"/>
    <w:semiHidden/>
    <w:unhideWhenUsed/>
    <w:rsid w:val="00A262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2B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3766-4BD9-459B-BBDF-CE8A49D9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 Atar</dc:creator>
  <cp:lastModifiedBy>Banu GÜLER</cp:lastModifiedBy>
  <cp:revision>2</cp:revision>
  <cp:lastPrinted>2019-06-18T08:41:00Z</cp:lastPrinted>
  <dcterms:created xsi:type="dcterms:W3CDTF">2020-08-04T12:09:00Z</dcterms:created>
  <dcterms:modified xsi:type="dcterms:W3CDTF">2020-08-04T12:09:00Z</dcterms:modified>
</cp:coreProperties>
</file>